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40" w:lineRule="exact"/>
        <w:jc w:val="center"/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2021年云南旅游职业学院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eastAsia="zh-CN"/>
        </w:rPr>
        <w:t>大数据与会计专业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单独招生考试大纲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为贯彻落实《国务院关于深化考试招生制度改革的实施意见》（国发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2014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35号）精神，加快推进高职（专科）院校分类考试，深化高职院校招生改革，更好地培养适应经济社会发展的高技能人才，根据《云南省2021年高职（专科）院校单独考试招生报考工作通告》和《云南省高等职业教育考试招生改革实施方案（试行）》（云招考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2015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4号）要求，为进一步明确任务，落实责任，认真做好高职(专科)院校单独考试招生，确保招生工作公开、公平、公正，结合学校实际情况，特制定本大纲。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theme="majorEastAsia"/>
          <w:b/>
          <w:bCs/>
          <w:kern w:val="0"/>
          <w:sz w:val="36"/>
          <w:szCs w:val="36"/>
        </w:rPr>
        <w:t>第一部分  普通高中毕业生单</w:t>
      </w:r>
      <w:r>
        <w:rPr>
          <w:rFonts w:ascii="黑体" w:hAnsi="黑体" w:eastAsia="黑体" w:cstheme="majorEastAsia"/>
          <w:b/>
          <w:bCs/>
          <w:kern w:val="0"/>
          <w:sz w:val="36"/>
          <w:szCs w:val="36"/>
        </w:rPr>
        <w:t>招大纲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theme="majorEastAsia"/>
          <w:b/>
          <w:bCs/>
          <w:kern w:val="0"/>
          <w:sz w:val="36"/>
          <w:szCs w:val="36"/>
        </w:rPr>
        <w:t>第</w:t>
      </w:r>
      <w:r>
        <w:rPr>
          <w:rFonts w:ascii="黑体" w:hAnsi="黑体" w:eastAsia="黑体" w:cstheme="majorEastAsia"/>
          <w:b/>
          <w:bCs/>
          <w:kern w:val="0"/>
          <w:sz w:val="36"/>
          <w:szCs w:val="36"/>
        </w:rPr>
        <w:t>一章</w:t>
      </w:r>
      <w:r>
        <w:rPr>
          <w:rFonts w:hint="eastAsia" w:ascii="黑体" w:hAnsi="黑体" w:eastAsia="黑体" w:cstheme="majorEastAsia"/>
          <w:b/>
          <w:bCs/>
          <w:kern w:val="0"/>
          <w:sz w:val="36"/>
          <w:szCs w:val="36"/>
        </w:rPr>
        <w:t xml:space="preserve">   总  则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一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适用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对象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本大纲适用于云南省申请报考云南旅游职业学院单独招生的普通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高中应（往）届毕业生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二、考试性质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按本大纲进行的考试系选拔性考试，其考试成绩将作为云南省普通高中应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（往）届毕业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生升入云南旅游职业学院学习的录取依据。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bCs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三、考试形式及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分值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普通高中毕业生参加高职单招依据学业水平考试量化成绩，参考学生综合素质评价择优录取。学业水平考试量化成绩以2020年底前取得的最好成绩为准。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大数据与会计专业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的考生，需要参加高职单招职业适应性测试（网络远程考试）。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大数据与会计专业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考生，根据报考人数、学业水平考试量化成绩，按照招生计划2.5倍的比例，需参加职业适应性测试，满分值为200分，按照普通高中学业水平考试量化成绩+职业适应性测试=考生综合成绩的原则，统计考生综合成绩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学业水平考试成绩使用等第量化分(A等20分、B等16分、C等12分、D等8分)，满分值为220分，各科目量化成绩不设权重，总分相同各科目排位顺序为：语文、数学、外语、思想政治、历史、地理、物理、化学、生物、信息技术及通用技术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theme="majorEastAsia"/>
          <w:b/>
          <w:bCs/>
          <w:kern w:val="0"/>
          <w:sz w:val="36"/>
          <w:szCs w:val="36"/>
        </w:rPr>
        <w:t>第二章  职业</w:t>
      </w:r>
      <w:r>
        <w:rPr>
          <w:rFonts w:ascii="黑体" w:hAnsi="黑体" w:eastAsia="黑体" w:cstheme="majorEastAsia"/>
          <w:b/>
          <w:bCs/>
          <w:kern w:val="0"/>
          <w:sz w:val="36"/>
          <w:szCs w:val="36"/>
        </w:rPr>
        <w:t>适应性测试要求及细则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（一）考核目标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大数据与会计专业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才培养目标和学生未来从业的行业特性，报考本专业考生除参加普通高中学业水平考试外，还必须参加并通过本专业职业适应性测试。职业适应性测试主要考查考生在表达能力、沟通能力和综合素质等方面是否基本具备本专业学习要求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二）考核要求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要求考生具有良好的心理素质和一定的应变能力、表达能力，具有基本的专业认识和良好的专业适应性，能胜任本专业的从业要求。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（三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）职业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适应性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测试的内容及评价标准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1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职业适应性测试（网络远程考试）要求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心理素质：乐观开朗，积极上进，有自信心；能够冷静地处理问题，不偏激，不固执，具有一定的情绪调节和自控能力。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仪表仪态：衣着整洁，仪表得体，举止大方，符合职业特点；姿态自然，肢体表达得当。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语言表达：口齿清楚，语速适宜，表达准确，简洁、流畅，能够较准确地表达自己的观点；回答问题态度积极，并能做出恰当的回应。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思维能力：能正确地理解和分析问题，抓住要点，并及时做出适当的反应，思维灵活，条理清晰，逻辑性强，有较好的应变能力。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2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职业适应性测试（网络远程考试）内容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职业适应性测试（网络远程考试）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自我介绍、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命题问答（时间控制在5分钟以内）和能力展示（时间控制在5分钟以内）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个环节。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）自我介绍：要求考生做一段简短的自我介绍，考查学生的体态、举止、沟通能力、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语言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表达能力、临场应变能力。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）命题问答：通过抽签确定问答题，每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个考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生可抽取3道题并选取2道回答，问答题全部是开放性题目（主观题，无标准答案），主要考察考生的语言表达能力、思辨能力、逻辑思维能力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应急处理能力和知识面。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3）能力展示：包括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特长展示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（如唱歌、跳舞、乐器、体育运动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、绘画、手工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大数据与会计专业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的认知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考生自行选择其中一项进行展示即可。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3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职业适应性测试（网络远程考试）评价标准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5244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524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8"/>
                <w:szCs w:val="28"/>
              </w:rPr>
              <w:t>指标要素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自我介绍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1.穿着打扮得体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2.言行举止符合礼节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3.亲和力及沟通能力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4.普通话表达能力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命题回答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（100分）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2题，每题50分</w:t>
            </w: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1.正确理解题意并能紧扣题目回答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2.用词得当、意思表达准确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3.观点或理念无常识性错误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4.内容较全面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5.层次感强，有较好的逻辑性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6.能用普通话回答，表达顺畅，语音语速适当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7.有一定的见解和较深入的分析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8.能客观评价，可信度高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9.具备灵活性，面对问题能自圆其说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临场应变能力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能力展示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(60分）</w:t>
            </w: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1.特长或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大数据与会计专业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知识的能力水平与程度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2.富有创意，亮点突出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3.气质与素养情况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4.独特性及优势的程度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</w:tbl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（四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考生须知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1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考试着装要求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男生着衬衣、深色裤子。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女生着衬衣、深色短裙或者长裤，不得佩带美瞳，假睫毛。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2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注意事项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）考生必须提前30分钟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提前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进入职业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技能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测试考场，带齐准考证、身份证等有效证件；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必须保持安静，听从指挥，按照顺序进行抽签、备考；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考生应遵守考场纪律：在考试全过程考生不得随身携带书籍和参考资料，不得随意插话和走动。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黑体"/>
          <w:b/>
          <w:kern w:val="0"/>
          <w:sz w:val="32"/>
          <w:szCs w:val="32"/>
        </w:rPr>
      </w:pPr>
      <w:r>
        <w:rPr>
          <w:rFonts w:hint="eastAsia" w:ascii="楷体" w:hAnsi="楷体" w:eastAsia="楷体" w:cs="黑体"/>
          <w:b/>
          <w:kern w:val="0"/>
          <w:sz w:val="32"/>
          <w:szCs w:val="32"/>
        </w:rPr>
        <w:t>（五</w:t>
      </w:r>
      <w:r>
        <w:rPr>
          <w:rFonts w:ascii="楷体" w:hAnsi="楷体" w:eastAsia="楷体" w:cs="黑体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 w:cs="黑体"/>
          <w:b/>
          <w:kern w:val="0"/>
          <w:sz w:val="32"/>
          <w:szCs w:val="32"/>
        </w:rPr>
        <w:t>参考资料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本次考试不指定教材，考生参考相关教材即可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theme="majorEastAsia"/>
          <w:b/>
          <w:bCs/>
          <w:kern w:val="0"/>
          <w:sz w:val="36"/>
          <w:szCs w:val="36"/>
        </w:rPr>
        <w:t>第二部分  中职毕业生单</w:t>
      </w:r>
      <w:r>
        <w:rPr>
          <w:rFonts w:ascii="黑体" w:hAnsi="黑体" w:eastAsia="黑体" w:cstheme="majorEastAsia"/>
          <w:b/>
          <w:bCs/>
          <w:kern w:val="0"/>
          <w:sz w:val="36"/>
          <w:szCs w:val="36"/>
        </w:rPr>
        <w:t>招大纲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theme="majorEastAsia"/>
          <w:b/>
          <w:bCs/>
          <w:kern w:val="0"/>
          <w:sz w:val="36"/>
          <w:szCs w:val="36"/>
        </w:rPr>
        <w:t>第</w:t>
      </w:r>
      <w:r>
        <w:rPr>
          <w:rFonts w:ascii="黑体" w:hAnsi="黑体" w:eastAsia="黑体" w:cstheme="majorEastAsia"/>
          <w:b/>
          <w:bCs/>
          <w:kern w:val="0"/>
          <w:sz w:val="36"/>
          <w:szCs w:val="36"/>
        </w:rPr>
        <w:t>一章</w:t>
      </w:r>
      <w:r>
        <w:rPr>
          <w:rFonts w:hint="eastAsia" w:ascii="黑体" w:hAnsi="黑体" w:eastAsia="黑体" w:cstheme="majorEastAsia"/>
          <w:b/>
          <w:bCs/>
          <w:kern w:val="0"/>
          <w:sz w:val="36"/>
          <w:szCs w:val="36"/>
        </w:rPr>
        <w:t xml:space="preserve">   总  则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一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适用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对象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本大纲适用于云南省申请报考云南旅游职业学院单独招生的中职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二、考试性质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按本大纲进行的考试系选拔性考试，其考试成绩将作为中职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升入云南旅游职业学院学习的录取依据。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bCs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三、考试形式及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分值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实行“文化素质+职业技能测试”的评价方式，总分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420分。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一）文化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知识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（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网络在线考试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文化知识考试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网络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考试平台进行，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考试科目为综合试卷，科目及相应分值为：语文80分、数学50分、政治50分、英语40分，总分为220分。文化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知识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考试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大纲参照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《云南省高等职业技术院校招生考试说明》各科考试大纲。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二）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职业技能测试（网络远程考试）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职业技能测试采用网络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直播形式进行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，总分200分。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theme="majorEastAsia"/>
          <w:b/>
          <w:bCs/>
          <w:kern w:val="0"/>
          <w:sz w:val="36"/>
          <w:szCs w:val="36"/>
        </w:rPr>
        <w:t>第二章  职业</w:t>
      </w:r>
      <w:r>
        <w:rPr>
          <w:rFonts w:ascii="黑体" w:hAnsi="黑体" w:eastAsia="黑体" w:cstheme="majorEastAsia"/>
          <w:b/>
          <w:bCs/>
          <w:kern w:val="0"/>
          <w:sz w:val="36"/>
          <w:szCs w:val="36"/>
        </w:rPr>
        <w:t>技能测试要求及细则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（一）考核目标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职业技能测试是以三校生基本素质和专业技能为基础，根据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大数据与会计专业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选拔、培养高素质技术技能型人才要求，对报考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大数据与会计专业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的中职毕业生进行选拔性评价的方式。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目的在于考核学生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的综合素质及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基本技能的掌握程度，检测学生是否具备专科阶段的学习基础。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二）考核要求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1.心理素质：乐观开朗，积极上进，有自信心；能够冷静地处理问题，不偏激，不固执，具有一定的情绪调节和自控能力；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2.仪表仪态：衣着整洁，仪表得体，举止大方；姿态自然，肢体表达得当；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3.语言表达：口齿清楚，语速适宜，表达准确，简洁、流畅，能够较准确地表达自己的观点；回答问题态度积极，并能做出恰当的回应；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4.思维品质：能正确地理解和分析问题，抓住要点，并及时做出适当的反应，思维灵活，条理清晰，逻辑性强，有较好的应变能力。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5.三校生须具备一定的会计职业道德素养与基本的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大数据与会计专业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知识。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kern w:val="0"/>
          <w:sz w:val="32"/>
          <w:szCs w:val="32"/>
        </w:rPr>
        <w:t>（三</w:t>
      </w:r>
      <w:r>
        <w:rPr>
          <w:rFonts w:ascii="楷体" w:hAnsi="楷体" w:eastAsia="楷体" w:cs="仿宋_GB2312"/>
          <w:b/>
          <w:bCs/>
          <w:kern w:val="0"/>
          <w:sz w:val="32"/>
          <w:szCs w:val="32"/>
        </w:rPr>
        <w:t>）职业</w:t>
      </w:r>
      <w:r>
        <w:rPr>
          <w:rFonts w:hint="eastAsia" w:ascii="楷体" w:hAnsi="楷体" w:eastAsia="楷体" w:cs="仿宋_GB2312"/>
          <w:b/>
          <w:bCs/>
          <w:kern w:val="0"/>
          <w:sz w:val="32"/>
          <w:szCs w:val="32"/>
        </w:rPr>
        <w:t>技能</w:t>
      </w:r>
      <w:r>
        <w:rPr>
          <w:rFonts w:ascii="楷体" w:hAnsi="楷体" w:eastAsia="楷体" w:cs="仿宋_GB2312"/>
          <w:b/>
          <w:bCs/>
          <w:kern w:val="0"/>
          <w:sz w:val="32"/>
          <w:szCs w:val="32"/>
        </w:rPr>
        <w:t>测试的内容及评价标准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1</w:t>
      </w:r>
      <w:r>
        <w:rPr>
          <w:rFonts w:ascii="楷体" w:hAnsi="楷体" w:eastAsia="楷体" w:cs="楷体"/>
          <w:b/>
          <w:bCs/>
          <w:kern w:val="0"/>
          <w:sz w:val="32"/>
          <w:szCs w:val="32"/>
        </w:rPr>
        <w:t>.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测试内容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职业技能测试内容分为自我介绍、职业意识、会计职业道德、专业知识四个方面。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自我介绍（40分）：考生使用普通话进行不超过1分钟的自我介绍，考查考生的仪容、仪表、仪态、普通话表达能力、语言组织能力、逻辑思维能力和临场应变能力。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职业意识（50分）：考生可以从以下方面进行不超过2分钟的陈述：对会计职业的认识、会计职业应具备的职业价值观、职业岗位要求等。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）会计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职业道德（50分）：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通过抽签确定问答题，每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个考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生可抽取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1道案例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根据要求进行不超过2分钟时间做答。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主要考察考生的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会计职业道德了解情况，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范围主要包括会计职业道德、会计资料的基本要求、会计人员回避制度等基本知识。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4）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大数据与会计专业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知识（60分）：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通过抽签确定问答题，每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个考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生可抽取3道题并选取2道回答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不超过3分钟时间。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主要考察考生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大数据与会计专业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能力，包括会计要素，会计科目，主要经济业务的核算，账务处理程序等，重点考察会计科目、会计要素、投入资本的核算、借入资金的核算、材料采购的核算、销售业务的核算。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2</w:t>
      </w:r>
      <w:r>
        <w:rPr>
          <w:rFonts w:ascii="楷体" w:hAnsi="楷体" w:eastAsia="楷体" w:cs="楷体"/>
          <w:b/>
          <w:bCs/>
          <w:kern w:val="0"/>
          <w:sz w:val="32"/>
          <w:szCs w:val="32"/>
        </w:rPr>
        <w:t>.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评价标准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）自我介绍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：穿着打扮得体，言行举止符合礼节，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内容完整，语音准确，口齿清晰，表达流利，语言组织合理，逻辑性强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职业意识：会计职业的认识、会计职业应具备的职业价值观、职业岗位要求，表达清晰，语音流畅等。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（3）会计职业道德：正确理解题意并能紧扣题目回答，对问题的理解无常识性错误，内容较全面，有一定的见解和较深入的分析，具备灵活性，回答问题有理有据。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4）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大数据与会计专业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知识：语言简练，表述准确，专业知识运用恰当，掌握专业知识较全面，具有一定的实践能力。</w:t>
      </w:r>
    </w:p>
    <w:tbl>
      <w:tblPr>
        <w:tblStyle w:val="9"/>
        <w:tblW w:w="50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5333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tblHeader/>
        </w:trPr>
        <w:tc>
          <w:tcPr>
            <w:tcW w:w="241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533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8"/>
                <w:szCs w:val="28"/>
              </w:rPr>
              <w:t>指标要素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4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自我介绍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5333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1.穿着打扮得体，言行举止符合礼节</w:t>
            </w:r>
          </w:p>
        </w:tc>
        <w:tc>
          <w:tcPr>
            <w:tcW w:w="917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2417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33" w:type="dxa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内容完整，语音准确，口齿清晰</w:t>
            </w:r>
          </w:p>
        </w:tc>
        <w:tc>
          <w:tcPr>
            <w:tcW w:w="917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2417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33" w:type="dxa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表达流利，语言组织合理</w:t>
            </w:r>
          </w:p>
        </w:tc>
        <w:tc>
          <w:tcPr>
            <w:tcW w:w="917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17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33" w:type="dxa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逻辑性强</w:t>
            </w:r>
          </w:p>
        </w:tc>
        <w:tc>
          <w:tcPr>
            <w:tcW w:w="917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4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职业意识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（50分）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33" w:type="dxa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1.职业的认识较全面</w:t>
            </w:r>
          </w:p>
        </w:tc>
        <w:tc>
          <w:tcPr>
            <w:tcW w:w="917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417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33" w:type="dxa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2.职业价值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观正确</w:t>
            </w:r>
          </w:p>
        </w:tc>
        <w:tc>
          <w:tcPr>
            <w:tcW w:w="917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417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33" w:type="dxa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3.职业岗位要求较熟悉</w:t>
            </w:r>
          </w:p>
        </w:tc>
        <w:tc>
          <w:tcPr>
            <w:tcW w:w="917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417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33" w:type="dxa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4.表达清晰，语音流畅</w:t>
            </w:r>
          </w:p>
        </w:tc>
        <w:tc>
          <w:tcPr>
            <w:tcW w:w="917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2417" w:type="dxa"/>
            <w:vMerge w:val="restart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会计职业道德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（50分）</w:t>
            </w:r>
          </w:p>
        </w:tc>
        <w:tc>
          <w:tcPr>
            <w:tcW w:w="5333" w:type="dxa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1.正确理解题意并能紧扣题目回答</w:t>
            </w:r>
          </w:p>
        </w:tc>
        <w:tc>
          <w:tcPr>
            <w:tcW w:w="917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2417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33" w:type="dxa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2.对问题的理解无常识性错误</w:t>
            </w:r>
          </w:p>
        </w:tc>
        <w:tc>
          <w:tcPr>
            <w:tcW w:w="917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2417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33" w:type="dxa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3.内容较全面，有一定的见解和较深入的分析</w:t>
            </w:r>
          </w:p>
        </w:tc>
        <w:tc>
          <w:tcPr>
            <w:tcW w:w="917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2417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33" w:type="dxa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4.具备灵活性，回答问题有理有据</w:t>
            </w:r>
          </w:p>
        </w:tc>
        <w:tc>
          <w:tcPr>
            <w:tcW w:w="917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4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大数据与会计专业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知识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(60分）</w:t>
            </w:r>
          </w:p>
        </w:tc>
        <w:tc>
          <w:tcPr>
            <w:tcW w:w="5333" w:type="dxa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1.语言简练，表述准确</w:t>
            </w:r>
          </w:p>
        </w:tc>
        <w:tc>
          <w:tcPr>
            <w:tcW w:w="917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333" w:type="dxa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2.专业知识运用恰当</w:t>
            </w:r>
          </w:p>
        </w:tc>
        <w:tc>
          <w:tcPr>
            <w:tcW w:w="917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2417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33" w:type="dxa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3.掌握专业知识程度</w:t>
            </w:r>
          </w:p>
        </w:tc>
        <w:tc>
          <w:tcPr>
            <w:tcW w:w="917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2417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33" w:type="dxa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4.实践能力</w:t>
            </w:r>
          </w:p>
        </w:tc>
        <w:tc>
          <w:tcPr>
            <w:tcW w:w="917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</w:tbl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黑体"/>
          <w:b/>
          <w:kern w:val="0"/>
          <w:sz w:val="32"/>
          <w:szCs w:val="32"/>
        </w:rPr>
      </w:pPr>
      <w:r>
        <w:rPr>
          <w:rFonts w:hint="eastAsia" w:ascii="楷体" w:hAnsi="楷体" w:eastAsia="楷体" w:cs="黑体"/>
          <w:b/>
          <w:kern w:val="0"/>
          <w:sz w:val="32"/>
          <w:szCs w:val="32"/>
        </w:rPr>
        <w:t>（四</w:t>
      </w:r>
      <w:r>
        <w:rPr>
          <w:rFonts w:ascii="楷体" w:hAnsi="楷体" w:eastAsia="楷体" w:cs="黑体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 w:cs="黑体"/>
          <w:b/>
          <w:kern w:val="0"/>
          <w:sz w:val="32"/>
          <w:szCs w:val="32"/>
        </w:rPr>
        <w:t>考试流程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提前30分钟进入测试室，按</w:t>
      </w:r>
      <w:r>
        <w:rPr>
          <w:rFonts w:ascii="仿宋_GB2312" w:eastAsia="仿宋_GB2312"/>
          <w:sz w:val="32"/>
          <w:szCs w:val="32"/>
        </w:rPr>
        <w:t>要求</w:t>
      </w:r>
      <w:r>
        <w:rPr>
          <w:rFonts w:hint="eastAsia" w:ascii="仿宋_GB2312" w:eastAsia="仿宋_GB2312"/>
          <w:sz w:val="32"/>
          <w:szCs w:val="32"/>
        </w:rPr>
        <w:t>签到；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2）</w:t>
      </w:r>
      <w:r>
        <w:rPr>
          <w:rFonts w:hint="eastAsia" w:ascii="仿宋_GB2312" w:eastAsia="仿宋_GB2312"/>
          <w:sz w:val="32"/>
          <w:szCs w:val="32"/>
        </w:rPr>
        <w:t>出示相关证件；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3）</w:t>
      </w:r>
      <w:r>
        <w:rPr>
          <w:rFonts w:hint="eastAsia" w:ascii="仿宋_GB2312" w:eastAsia="仿宋_GB2312"/>
          <w:sz w:val="32"/>
          <w:szCs w:val="32"/>
        </w:rPr>
        <w:t>考生按照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自我介绍—职业意识—职业道德—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大数据与会计专业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知识的流程进行职业技能测试；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黑体"/>
          <w:b/>
          <w:kern w:val="0"/>
          <w:sz w:val="32"/>
          <w:szCs w:val="32"/>
        </w:rPr>
      </w:pPr>
      <w:r>
        <w:rPr>
          <w:rFonts w:hint="eastAsia" w:ascii="楷体" w:hAnsi="楷体" w:eastAsia="楷体" w:cs="黑体"/>
          <w:b/>
          <w:kern w:val="0"/>
          <w:sz w:val="32"/>
          <w:szCs w:val="32"/>
        </w:rPr>
        <w:t>（</w:t>
      </w:r>
      <w:r>
        <w:rPr>
          <w:rFonts w:ascii="楷体" w:hAnsi="楷体" w:eastAsia="楷体" w:cs="黑体"/>
          <w:b/>
          <w:kern w:val="0"/>
          <w:sz w:val="32"/>
          <w:szCs w:val="32"/>
        </w:rPr>
        <w:t>五）</w:t>
      </w:r>
      <w:r>
        <w:rPr>
          <w:rFonts w:hint="eastAsia" w:ascii="楷体" w:hAnsi="楷体" w:eastAsia="楷体" w:cs="黑体"/>
          <w:b/>
          <w:kern w:val="0"/>
          <w:sz w:val="32"/>
          <w:szCs w:val="32"/>
        </w:rPr>
        <w:t>考试注意事项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）考生必须提前30分钟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提前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进入职业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技能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测试考场，带齐准考证、身份证等有效证件；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必须保持安静，听从指挥，按照顺序进行抽签、备考；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考生应遵守考场纪律：在考试全过程考生不得随身携带书籍和参考资料，不得随意插话和走动。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黑体"/>
          <w:b/>
          <w:kern w:val="0"/>
          <w:sz w:val="32"/>
          <w:szCs w:val="32"/>
        </w:rPr>
      </w:pPr>
      <w:r>
        <w:rPr>
          <w:rFonts w:hint="eastAsia" w:ascii="楷体" w:hAnsi="楷体" w:eastAsia="楷体" w:cs="黑体"/>
          <w:b/>
          <w:kern w:val="0"/>
          <w:sz w:val="32"/>
          <w:szCs w:val="32"/>
        </w:rPr>
        <w:t>（</w:t>
      </w:r>
      <w:r>
        <w:rPr>
          <w:rFonts w:ascii="楷体" w:hAnsi="楷体" w:eastAsia="楷体" w:cs="黑体"/>
          <w:b/>
          <w:kern w:val="0"/>
          <w:sz w:val="32"/>
          <w:szCs w:val="32"/>
        </w:rPr>
        <w:t>六）</w:t>
      </w:r>
      <w:r>
        <w:rPr>
          <w:rFonts w:hint="eastAsia" w:ascii="楷体" w:hAnsi="楷体" w:eastAsia="楷体" w:cs="黑体"/>
          <w:b/>
          <w:kern w:val="0"/>
          <w:sz w:val="32"/>
          <w:szCs w:val="32"/>
        </w:rPr>
        <w:t>参考资料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本次考试不指定教材，考生参考相关教材即可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ind w:right="480"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云南旅游职业学院</w:t>
      </w:r>
    </w:p>
    <w:p>
      <w:pPr>
        <w:widowControl/>
        <w:spacing w:line="360" w:lineRule="auto"/>
        <w:ind w:right="320" w:firstLine="640" w:firstLineChars="200"/>
        <w:jc w:val="righ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2339149"/>
    </w:sdtPr>
    <w:sdtEndPr>
      <w:rPr>
        <w:sz w:val="24"/>
        <w:szCs w:val="24"/>
      </w:rPr>
    </w:sdtEndPr>
    <w:sdtContent>
      <w:p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2 -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12505571"/>
    </w:sdtPr>
    <w:sdtEndPr>
      <w:rPr>
        <w:sz w:val="24"/>
        <w:szCs w:val="24"/>
      </w:rPr>
    </w:sdtEndPr>
    <w:sdtContent>
      <w:p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11 -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659"/>
    <w:rsid w:val="00007F6C"/>
    <w:rsid w:val="00010F90"/>
    <w:rsid w:val="00011D72"/>
    <w:rsid w:val="00017DA3"/>
    <w:rsid w:val="00021D85"/>
    <w:rsid w:val="000321AD"/>
    <w:rsid w:val="00075A16"/>
    <w:rsid w:val="000971BC"/>
    <w:rsid w:val="000C4994"/>
    <w:rsid w:val="000F103C"/>
    <w:rsid w:val="000F2EEE"/>
    <w:rsid w:val="00104DC3"/>
    <w:rsid w:val="001124C1"/>
    <w:rsid w:val="00114778"/>
    <w:rsid w:val="001201C4"/>
    <w:rsid w:val="00121DEA"/>
    <w:rsid w:val="00154929"/>
    <w:rsid w:val="00154B37"/>
    <w:rsid w:val="00177394"/>
    <w:rsid w:val="00183ACB"/>
    <w:rsid w:val="00190F89"/>
    <w:rsid w:val="00192AFF"/>
    <w:rsid w:val="001B4807"/>
    <w:rsid w:val="001D494B"/>
    <w:rsid w:val="001D7AE4"/>
    <w:rsid w:val="001E77B4"/>
    <w:rsid w:val="00216D8D"/>
    <w:rsid w:val="00226D1E"/>
    <w:rsid w:val="00237083"/>
    <w:rsid w:val="00240751"/>
    <w:rsid w:val="00256EF3"/>
    <w:rsid w:val="002642D2"/>
    <w:rsid w:val="00266093"/>
    <w:rsid w:val="0029223D"/>
    <w:rsid w:val="002A6ED5"/>
    <w:rsid w:val="002B1CBA"/>
    <w:rsid w:val="002C0C61"/>
    <w:rsid w:val="002C332C"/>
    <w:rsid w:val="002D6324"/>
    <w:rsid w:val="002E6749"/>
    <w:rsid w:val="002E7B18"/>
    <w:rsid w:val="002F4C75"/>
    <w:rsid w:val="003047E2"/>
    <w:rsid w:val="0033541F"/>
    <w:rsid w:val="00335CAC"/>
    <w:rsid w:val="003435BE"/>
    <w:rsid w:val="00346D5B"/>
    <w:rsid w:val="00350F09"/>
    <w:rsid w:val="00351640"/>
    <w:rsid w:val="00355D06"/>
    <w:rsid w:val="00371D16"/>
    <w:rsid w:val="00373F45"/>
    <w:rsid w:val="00392E17"/>
    <w:rsid w:val="003C1FA4"/>
    <w:rsid w:val="003D68D1"/>
    <w:rsid w:val="003D6973"/>
    <w:rsid w:val="003D7363"/>
    <w:rsid w:val="003E1EBC"/>
    <w:rsid w:val="003E37A7"/>
    <w:rsid w:val="003E40A4"/>
    <w:rsid w:val="003E4BEA"/>
    <w:rsid w:val="003E620B"/>
    <w:rsid w:val="003F3A17"/>
    <w:rsid w:val="00405124"/>
    <w:rsid w:val="00406AD0"/>
    <w:rsid w:val="00410E9C"/>
    <w:rsid w:val="00423D86"/>
    <w:rsid w:val="00433B4F"/>
    <w:rsid w:val="004359D4"/>
    <w:rsid w:val="004375DA"/>
    <w:rsid w:val="004466F6"/>
    <w:rsid w:val="004520F2"/>
    <w:rsid w:val="004743B8"/>
    <w:rsid w:val="0049324C"/>
    <w:rsid w:val="00496AE2"/>
    <w:rsid w:val="004A181B"/>
    <w:rsid w:val="004B3888"/>
    <w:rsid w:val="004B7BFB"/>
    <w:rsid w:val="004C00BC"/>
    <w:rsid w:val="004D186C"/>
    <w:rsid w:val="004D2391"/>
    <w:rsid w:val="004E7A76"/>
    <w:rsid w:val="004F241F"/>
    <w:rsid w:val="005022B6"/>
    <w:rsid w:val="005058FA"/>
    <w:rsid w:val="005077AF"/>
    <w:rsid w:val="005170CB"/>
    <w:rsid w:val="00524102"/>
    <w:rsid w:val="00530022"/>
    <w:rsid w:val="0053020A"/>
    <w:rsid w:val="00532ADD"/>
    <w:rsid w:val="005461CD"/>
    <w:rsid w:val="005667EC"/>
    <w:rsid w:val="00572EAB"/>
    <w:rsid w:val="005735D8"/>
    <w:rsid w:val="00586A98"/>
    <w:rsid w:val="005B640E"/>
    <w:rsid w:val="005C3E59"/>
    <w:rsid w:val="005F18BC"/>
    <w:rsid w:val="00620695"/>
    <w:rsid w:val="00625143"/>
    <w:rsid w:val="00625EE5"/>
    <w:rsid w:val="00634C40"/>
    <w:rsid w:val="00640E12"/>
    <w:rsid w:val="00645189"/>
    <w:rsid w:val="00651558"/>
    <w:rsid w:val="00672C49"/>
    <w:rsid w:val="0069054E"/>
    <w:rsid w:val="006910A1"/>
    <w:rsid w:val="00691480"/>
    <w:rsid w:val="006B5939"/>
    <w:rsid w:val="006C7968"/>
    <w:rsid w:val="006D24FA"/>
    <w:rsid w:val="006D640E"/>
    <w:rsid w:val="00704E75"/>
    <w:rsid w:val="00705BD8"/>
    <w:rsid w:val="00710825"/>
    <w:rsid w:val="00722998"/>
    <w:rsid w:val="0072389B"/>
    <w:rsid w:val="00742777"/>
    <w:rsid w:val="00745EB7"/>
    <w:rsid w:val="007534FA"/>
    <w:rsid w:val="00760195"/>
    <w:rsid w:val="00761608"/>
    <w:rsid w:val="00777369"/>
    <w:rsid w:val="00791AF6"/>
    <w:rsid w:val="007962DC"/>
    <w:rsid w:val="007A67A2"/>
    <w:rsid w:val="007B6EA2"/>
    <w:rsid w:val="007C628B"/>
    <w:rsid w:val="007E2E5A"/>
    <w:rsid w:val="007F2278"/>
    <w:rsid w:val="007F69A3"/>
    <w:rsid w:val="00813019"/>
    <w:rsid w:val="00834DE6"/>
    <w:rsid w:val="00835B47"/>
    <w:rsid w:val="00844733"/>
    <w:rsid w:val="00845EAB"/>
    <w:rsid w:val="00847860"/>
    <w:rsid w:val="00853193"/>
    <w:rsid w:val="008579AD"/>
    <w:rsid w:val="008631DD"/>
    <w:rsid w:val="00875EE9"/>
    <w:rsid w:val="008835AD"/>
    <w:rsid w:val="008945E7"/>
    <w:rsid w:val="00897D8D"/>
    <w:rsid w:val="008A2F42"/>
    <w:rsid w:val="008A4B5D"/>
    <w:rsid w:val="008C4828"/>
    <w:rsid w:val="008D109A"/>
    <w:rsid w:val="008D7FEA"/>
    <w:rsid w:val="008E0F2A"/>
    <w:rsid w:val="008E1C5E"/>
    <w:rsid w:val="008F2C7D"/>
    <w:rsid w:val="008F5A0D"/>
    <w:rsid w:val="00903DE7"/>
    <w:rsid w:val="00914A0D"/>
    <w:rsid w:val="009349B1"/>
    <w:rsid w:val="00945B66"/>
    <w:rsid w:val="00954E70"/>
    <w:rsid w:val="00971D26"/>
    <w:rsid w:val="0097600A"/>
    <w:rsid w:val="0097629E"/>
    <w:rsid w:val="00982789"/>
    <w:rsid w:val="009B0377"/>
    <w:rsid w:val="009B0622"/>
    <w:rsid w:val="009B2EE7"/>
    <w:rsid w:val="009B6653"/>
    <w:rsid w:val="009B7FA9"/>
    <w:rsid w:val="009D5A21"/>
    <w:rsid w:val="009D7D27"/>
    <w:rsid w:val="00A11A20"/>
    <w:rsid w:val="00A27B5A"/>
    <w:rsid w:val="00A352B5"/>
    <w:rsid w:val="00A41FF8"/>
    <w:rsid w:val="00A45F1B"/>
    <w:rsid w:val="00A52F8F"/>
    <w:rsid w:val="00A53EDD"/>
    <w:rsid w:val="00A647B8"/>
    <w:rsid w:val="00A64A84"/>
    <w:rsid w:val="00A77613"/>
    <w:rsid w:val="00A77C3C"/>
    <w:rsid w:val="00A86F35"/>
    <w:rsid w:val="00A90D24"/>
    <w:rsid w:val="00A95798"/>
    <w:rsid w:val="00A95B5D"/>
    <w:rsid w:val="00AB236E"/>
    <w:rsid w:val="00AB6610"/>
    <w:rsid w:val="00AC3F14"/>
    <w:rsid w:val="00AD14A1"/>
    <w:rsid w:val="00AD7632"/>
    <w:rsid w:val="00AF3E0E"/>
    <w:rsid w:val="00B039CB"/>
    <w:rsid w:val="00B216D6"/>
    <w:rsid w:val="00B245DE"/>
    <w:rsid w:val="00B24913"/>
    <w:rsid w:val="00B26A91"/>
    <w:rsid w:val="00B34D29"/>
    <w:rsid w:val="00B51EDA"/>
    <w:rsid w:val="00B53293"/>
    <w:rsid w:val="00B6613F"/>
    <w:rsid w:val="00B92999"/>
    <w:rsid w:val="00B9700C"/>
    <w:rsid w:val="00BA0719"/>
    <w:rsid w:val="00BA2E65"/>
    <w:rsid w:val="00BB7215"/>
    <w:rsid w:val="00BC325A"/>
    <w:rsid w:val="00BD0DBF"/>
    <w:rsid w:val="00BD50D6"/>
    <w:rsid w:val="00BE4FE7"/>
    <w:rsid w:val="00BE72F6"/>
    <w:rsid w:val="00C07762"/>
    <w:rsid w:val="00C12564"/>
    <w:rsid w:val="00C130B7"/>
    <w:rsid w:val="00C16C43"/>
    <w:rsid w:val="00C17674"/>
    <w:rsid w:val="00C27457"/>
    <w:rsid w:val="00C522B4"/>
    <w:rsid w:val="00C7457A"/>
    <w:rsid w:val="00C76DCB"/>
    <w:rsid w:val="00C84C5B"/>
    <w:rsid w:val="00C85590"/>
    <w:rsid w:val="00C87284"/>
    <w:rsid w:val="00C8743F"/>
    <w:rsid w:val="00CB2B06"/>
    <w:rsid w:val="00CD21D6"/>
    <w:rsid w:val="00CF4C42"/>
    <w:rsid w:val="00CF63E6"/>
    <w:rsid w:val="00D040CD"/>
    <w:rsid w:val="00D14C69"/>
    <w:rsid w:val="00D25EA8"/>
    <w:rsid w:val="00D2627D"/>
    <w:rsid w:val="00D3032D"/>
    <w:rsid w:val="00D3379A"/>
    <w:rsid w:val="00D365A7"/>
    <w:rsid w:val="00D44253"/>
    <w:rsid w:val="00D47F7F"/>
    <w:rsid w:val="00D623D5"/>
    <w:rsid w:val="00D73EAB"/>
    <w:rsid w:val="00D81659"/>
    <w:rsid w:val="00D8773C"/>
    <w:rsid w:val="00D928FB"/>
    <w:rsid w:val="00DB2190"/>
    <w:rsid w:val="00DD5987"/>
    <w:rsid w:val="00E00B51"/>
    <w:rsid w:val="00E05355"/>
    <w:rsid w:val="00E06267"/>
    <w:rsid w:val="00E07F93"/>
    <w:rsid w:val="00E20F01"/>
    <w:rsid w:val="00E217BA"/>
    <w:rsid w:val="00E24199"/>
    <w:rsid w:val="00E45731"/>
    <w:rsid w:val="00E51E15"/>
    <w:rsid w:val="00E64CD4"/>
    <w:rsid w:val="00E66752"/>
    <w:rsid w:val="00E849D0"/>
    <w:rsid w:val="00E85E42"/>
    <w:rsid w:val="00EB5B15"/>
    <w:rsid w:val="00EB6636"/>
    <w:rsid w:val="00EC5BA9"/>
    <w:rsid w:val="00EE2563"/>
    <w:rsid w:val="00EE3EDA"/>
    <w:rsid w:val="00F124EC"/>
    <w:rsid w:val="00F35A1B"/>
    <w:rsid w:val="00F46D3B"/>
    <w:rsid w:val="00F47D4E"/>
    <w:rsid w:val="00F5221B"/>
    <w:rsid w:val="00F71694"/>
    <w:rsid w:val="00F76DC6"/>
    <w:rsid w:val="00FA36E2"/>
    <w:rsid w:val="00FC18FD"/>
    <w:rsid w:val="00FF08C1"/>
    <w:rsid w:val="00FF3199"/>
    <w:rsid w:val="00FF5451"/>
    <w:rsid w:val="09E10775"/>
    <w:rsid w:val="0C99627E"/>
    <w:rsid w:val="0ECA6D20"/>
    <w:rsid w:val="110B634E"/>
    <w:rsid w:val="16AC102D"/>
    <w:rsid w:val="1A6F1ED7"/>
    <w:rsid w:val="31A20276"/>
    <w:rsid w:val="33A8537F"/>
    <w:rsid w:val="42F036F8"/>
    <w:rsid w:val="48297609"/>
    <w:rsid w:val="4BF103A5"/>
    <w:rsid w:val="52DD104B"/>
    <w:rsid w:val="60C70130"/>
    <w:rsid w:val="77E253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semiHidden/>
    <w:unhideWhenUsed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批注文字 Char"/>
    <w:basedOn w:val="10"/>
    <w:link w:val="3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批注主题 Char"/>
    <w:basedOn w:val="15"/>
    <w:link w:val="7"/>
    <w:semiHidden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7">
    <w:name w:val="标题 2 Char"/>
    <w:basedOn w:val="10"/>
    <w:link w:val="2"/>
    <w:qFormat/>
    <w:uiPriority w:val="9"/>
    <w:rPr>
      <w:rFonts w:ascii="宋体" w:hAnsi="宋体" w:eastAsia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616</Words>
  <Characters>3515</Characters>
  <Lines>29</Lines>
  <Paragraphs>8</Paragraphs>
  <TotalTime>414</TotalTime>
  <ScaleCrop>false</ScaleCrop>
  <LinksUpToDate>false</LinksUpToDate>
  <CharactersWithSpaces>4123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2021-01-25T01:26:00Z</dcterms:created>
  <dc:creator>lenovo</dc:creator>
  <cp:lastModifiedBy>iyth</cp:lastModifiedBy>
  <cp:lastPrinted>2019-11-06T09:29:00Z</cp:lastPrinted>
  <dcterms:modified xsi:type="dcterms:W3CDTF">2021-03-22T12:47:03Z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952A247D1FEA4E529A280522E678D7A2</vt:lpwstr>
  </property>
</Properties>
</file>